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2-80-2611/24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15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руководствуя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167, 194-199</w:t>
      </w:r>
      <w:r>
        <w:rPr>
          <w:rFonts w:ascii="Times New Roman" w:eastAsia="Times New Roman" w:hAnsi="Times New Roman" w:cs="Times New Roman"/>
          <w:sz w:val="26"/>
          <w:szCs w:val="26"/>
        </w:rPr>
        <w:t>, 233, 235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Исаевой Светлане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оплате жилого помещения и коммунальных услуг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Исаевой Светланы </w:t>
      </w:r>
      <w:r>
        <w:rPr>
          <w:rFonts w:ascii="Times New Roman" w:eastAsia="Times New Roman" w:hAnsi="Times New Roman" w:cs="Times New Roman"/>
          <w:sz w:val="26"/>
          <w:szCs w:val="26"/>
        </w:rPr>
        <w:t>Абдулюсеевны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законного представителя несовершеннолетней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«Управляющая организация «</w:t>
      </w:r>
      <w:r>
        <w:rPr>
          <w:rFonts w:ascii="Times New Roman" w:eastAsia="Times New Roman" w:hAnsi="Times New Roman" w:cs="Times New Roman"/>
          <w:sz w:val="26"/>
          <w:szCs w:val="26"/>
        </w:rPr>
        <w:t>ГрадСервис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20rplc-1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жилого помещения и коммунальных услуг за период с 01.11.2021 по 30.06.2023 в сумме 30 003 рубля 77 копеек, из которых: 26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912 рублей 98 копеек – сумма основного долга, 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090 рублей 79 копеек - пени, а также судебные расходы по оплате государственной пошлины в размере 1 100 рублей 10 копеек; а всего взыскать 31 103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(тридцать одна тысяча сто три) рубля 87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>рового судьи судебного участка №11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2-80-2611</w:t>
      </w:r>
      <w:r>
        <w:rPr>
          <w:rFonts w:ascii="Times New Roman" w:eastAsia="Times New Roman" w:hAnsi="Times New Roman" w:cs="Times New Roman"/>
          <w:sz w:val="16"/>
          <w:szCs w:val="16"/>
        </w:rPr>
        <w:t>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PhoneNumbergrp-20rplc-14">
    <w:name w:val="cat-PhoneNumber grp-20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